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34" w:type="dxa"/>
        <w:shd w:val="clear" w:color="auto" w:fill="7F7F7F" w:themeFill="text1" w:themeFillTint="80"/>
        <w:tblLook w:val="04A0" w:firstRow="1" w:lastRow="0" w:firstColumn="1" w:lastColumn="0" w:noHBand="0" w:noVBand="1"/>
      </w:tblPr>
      <w:tblGrid>
        <w:gridCol w:w="14311"/>
      </w:tblGrid>
      <w:tr w:rsidR="0052059C" w:rsidRPr="0052059C" w:rsidTr="00F54824">
        <w:trPr>
          <w:trHeight w:val="680"/>
        </w:trPr>
        <w:tc>
          <w:tcPr>
            <w:tcW w:w="14537" w:type="dxa"/>
            <w:shd w:val="clear" w:color="auto" w:fill="7F7F7F" w:themeFill="text1" w:themeFillTint="80"/>
            <w:vAlign w:val="center"/>
          </w:tcPr>
          <w:p w:rsidR="0052059C" w:rsidRPr="0052059C" w:rsidRDefault="0052059C" w:rsidP="0052059C">
            <w:pPr>
              <w:pStyle w:val="berschrift1"/>
              <w:spacing w:after="0"/>
              <w:ind w:left="0"/>
              <w:jc w:val="center"/>
              <w:rPr>
                <w:color w:val="FFFFFF" w:themeColor="background1"/>
                <w:lang w:val="en-US"/>
              </w:rPr>
            </w:pPr>
            <w:bookmarkStart w:id="0" w:name="_Toc325190384"/>
            <w:bookmarkStart w:id="1" w:name="_Toc336667372"/>
            <w:bookmarkStart w:id="2" w:name="_Toc409416025"/>
            <w:r w:rsidRPr="0052059C">
              <w:rPr>
                <w:color w:val="FFFFFF" w:themeColor="background1"/>
                <w:lang w:val="en-US"/>
              </w:rPr>
              <w:t>Formular 14/3:</w:t>
            </w:r>
            <w:r w:rsidRPr="0052059C">
              <w:rPr>
                <w:color w:val="FFFFFF" w:themeColor="background1"/>
                <w:lang w:val="en-US"/>
              </w:rPr>
              <w:tab/>
              <w:t>Land-Use-Planning (LUP)</w:t>
            </w:r>
          </w:p>
        </w:tc>
      </w:tr>
    </w:tbl>
    <w:bookmarkEnd w:id="0"/>
    <w:bookmarkEnd w:id="1"/>
    <w:bookmarkEnd w:id="2"/>
    <w:p w:rsidR="00302773" w:rsidRDefault="00B87611" w:rsidP="0052059C">
      <w:pPr>
        <w:spacing w:before="120" w:after="120" w:line="288" w:lineRule="auto"/>
        <w:ind w:right="-108"/>
        <w:jc w:val="both"/>
        <w:rPr>
          <w:sz w:val="20"/>
          <w:szCs w:val="20"/>
          <w:lang w:val="de-DE"/>
        </w:rPr>
      </w:pPr>
      <w:r>
        <w:rPr>
          <w:sz w:val="20"/>
          <w:szCs w:val="20"/>
          <w:lang w:val="de-DE"/>
        </w:rPr>
        <w:t xml:space="preserve">Nach dem Erlass vom 22.09.2014 (Staatsanzeiger des Landes Hessen 41 vom 6.10.2014, S. 852) zur Berücksichtigung des Abstandsgebots aus Artikel 12 der Seveso-II-Richtlinie </w:t>
      </w:r>
      <w:r w:rsidR="00F66510">
        <w:rPr>
          <w:sz w:val="20"/>
          <w:szCs w:val="20"/>
          <w:lang w:val="de-DE"/>
        </w:rPr>
        <w:t xml:space="preserve">bzw. aus Artikel 13 der Seveso-III-Richtlinie </w:t>
      </w:r>
      <w:r>
        <w:rPr>
          <w:sz w:val="20"/>
          <w:szCs w:val="20"/>
          <w:lang w:val="de-DE"/>
        </w:rPr>
        <w:t>ist dieses im Genehmigungsverfahren zu beachten. Zur Prüfung, ob eine Vergrößerung des Gefährdungsbereichs aufgrund des Antraggegenstands von vornherein ausgeschlossen werden kann, sind folgende Angabe notwendig.</w:t>
      </w:r>
    </w:p>
    <w:p w:rsidR="002C0060" w:rsidRPr="00B87611" w:rsidRDefault="002C0060" w:rsidP="002C0060">
      <w:pPr>
        <w:spacing w:after="200" w:line="288" w:lineRule="auto"/>
        <w:rPr>
          <w:sz w:val="18"/>
          <w:szCs w:val="18"/>
          <w:lang w:val="de-DE"/>
        </w:rPr>
      </w:pPr>
      <w:r w:rsidRPr="00B87611">
        <w:rPr>
          <w:sz w:val="18"/>
          <w:szCs w:val="18"/>
          <w:u w:val="single"/>
          <w:lang w:val="de-DE"/>
        </w:rPr>
        <w:t>Hinweis</w:t>
      </w:r>
      <w:r w:rsidRPr="00B87611">
        <w:rPr>
          <w:sz w:val="18"/>
          <w:szCs w:val="18"/>
          <w:lang w:val="de-DE"/>
        </w:rPr>
        <w:t xml:space="preserve">: </w:t>
      </w:r>
      <w:r w:rsidR="009F368D">
        <w:rPr>
          <w:sz w:val="18"/>
          <w:szCs w:val="18"/>
          <w:lang w:val="de-DE"/>
        </w:rPr>
        <w:t>Bei zutreffenden Kriterien (Antwort „</w:t>
      </w:r>
      <w:r w:rsidRPr="00B87611">
        <w:rPr>
          <w:sz w:val="18"/>
          <w:szCs w:val="18"/>
          <w:lang w:val="de-DE"/>
        </w:rPr>
        <w:t>Ja“</w:t>
      </w:r>
      <w:r w:rsidR="009F368D">
        <w:rPr>
          <w:sz w:val="18"/>
          <w:szCs w:val="18"/>
          <w:lang w:val="de-DE"/>
        </w:rPr>
        <w:t>)</w:t>
      </w:r>
      <w:r w:rsidRPr="00B87611">
        <w:rPr>
          <w:sz w:val="18"/>
          <w:szCs w:val="18"/>
          <w:lang w:val="de-DE"/>
        </w:rPr>
        <w:t xml:space="preserve"> </w:t>
      </w:r>
      <w:r w:rsidR="009F368D">
        <w:rPr>
          <w:sz w:val="18"/>
          <w:szCs w:val="18"/>
          <w:lang w:val="de-DE"/>
        </w:rPr>
        <w:t xml:space="preserve">sind </w:t>
      </w:r>
      <w:r w:rsidRPr="00B87611">
        <w:rPr>
          <w:sz w:val="18"/>
          <w:szCs w:val="18"/>
          <w:lang w:val="de-DE"/>
        </w:rPr>
        <w:t>in der Spalte „</w:t>
      </w:r>
      <w:r w:rsidR="00BF2C8B" w:rsidRPr="00B87611">
        <w:rPr>
          <w:sz w:val="18"/>
          <w:szCs w:val="18"/>
          <w:lang w:val="de-DE"/>
        </w:rPr>
        <w:t>Erläuterung</w:t>
      </w:r>
      <w:r w:rsidR="009F368D">
        <w:rPr>
          <w:sz w:val="18"/>
          <w:szCs w:val="18"/>
          <w:lang w:val="de-DE"/>
        </w:rPr>
        <w:t xml:space="preserve"> </w:t>
      </w:r>
      <w:r w:rsidRPr="00B87611">
        <w:rPr>
          <w:sz w:val="18"/>
          <w:szCs w:val="18"/>
          <w:lang w:val="de-DE"/>
        </w:rPr>
        <w:t xml:space="preserve">“ </w:t>
      </w:r>
      <w:r w:rsidR="009F368D">
        <w:rPr>
          <w:sz w:val="18"/>
          <w:szCs w:val="18"/>
          <w:lang w:val="de-DE"/>
        </w:rPr>
        <w:t>weitere Angaben erforderlich</w:t>
      </w:r>
      <w:r w:rsidRPr="00B87611">
        <w:rPr>
          <w:sz w:val="18"/>
          <w:szCs w:val="18"/>
          <w:lang w:val="de-DE"/>
        </w:rPr>
        <w:t>.</w:t>
      </w:r>
    </w:p>
    <w:tbl>
      <w:tblPr>
        <w:tblW w:w="1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059"/>
        <w:gridCol w:w="737"/>
        <w:gridCol w:w="737"/>
        <w:gridCol w:w="7547"/>
      </w:tblGrid>
      <w:tr w:rsidR="002C0060" w:rsidRPr="0052059C" w:rsidTr="00F54824">
        <w:trPr>
          <w:trHeight w:val="397"/>
          <w:tblHeader/>
        </w:trPr>
        <w:tc>
          <w:tcPr>
            <w:tcW w:w="534" w:type="dxa"/>
            <w:shd w:val="clear" w:color="auto" w:fill="D9D9D9" w:themeFill="background1" w:themeFillShade="D9"/>
            <w:vAlign w:val="center"/>
          </w:tcPr>
          <w:p w:rsidR="002C0060" w:rsidRPr="0052059C" w:rsidRDefault="002C0060" w:rsidP="0052059C">
            <w:pPr>
              <w:rPr>
                <w:b/>
                <w:sz w:val="20"/>
                <w:szCs w:val="20"/>
                <w:lang w:val="de-DE"/>
              </w:rPr>
            </w:pPr>
          </w:p>
        </w:tc>
        <w:tc>
          <w:tcPr>
            <w:tcW w:w="5059" w:type="dxa"/>
            <w:shd w:val="clear" w:color="auto" w:fill="D9D9D9" w:themeFill="background1" w:themeFillShade="D9"/>
            <w:vAlign w:val="center"/>
          </w:tcPr>
          <w:p w:rsidR="002C0060" w:rsidRPr="0052059C" w:rsidRDefault="00BF2C8B" w:rsidP="0052059C">
            <w:pPr>
              <w:rPr>
                <w:b/>
                <w:sz w:val="20"/>
                <w:szCs w:val="20"/>
              </w:rPr>
            </w:pPr>
            <w:r w:rsidRPr="0052059C">
              <w:rPr>
                <w:b/>
                <w:sz w:val="20"/>
                <w:szCs w:val="20"/>
                <w:lang w:val="de-DE"/>
              </w:rPr>
              <w:t>Kriterium</w:t>
            </w:r>
          </w:p>
        </w:tc>
        <w:tc>
          <w:tcPr>
            <w:tcW w:w="737" w:type="dxa"/>
            <w:shd w:val="clear" w:color="auto" w:fill="D9D9D9" w:themeFill="background1" w:themeFillShade="D9"/>
            <w:vAlign w:val="center"/>
          </w:tcPr>
          <w:p w:rsidR="002C0060" w:rsidRPr="0052059C" w:rsidRDefault="002C0060" w:rsidP="0052059C">
            <w:pPr>
              <w:jc w:val="center"/>
              <w:rPr>
                <w:b/>
                <w:sz w:val="20"/>
                <w:szCs w:val="20"/>
              </w:rPr>
            </w:pPr>
            <w:r w:rsidRPr="0052059C">
              <w:rPr>
                <w:b/>
                <w:sz w:val="20"/>
                <w:szCs w:val="20"/>
              </w:rPr>
              <w:t>Ja</w:t>
            </w:r>
          </w:p>
        </w:tc>
        <w:tc>
          <w:tcPr>
            <w:tcW w:w="737" w:type="dxa"/>
            <w:shd w:val="clear" w:color="auto" w:fill="D9D9D9" w:themeFill="background1" w:themeFillShade="D9"/>
            <w:vAlign w:val="center"/>
          </w:tcPr>
          <w:p w:rsidR="002C0060" w:rsidRPr="0052059C" w:rsidRDefault="002C0060" w:rsidP="0052059C">
            <w:pPr>
              <w:jc w:val="center"/>
              <w:rPr>
                <w:b/>
                <w:sz w:val="20"/>
                <w:szCs w:val="20"/>
              </w:rPr>
            </w:pPr>
            <w:r w:rsidRPr="0052059C">
              <w:rPr>
                <w:b/>
                <w:sz w:val="20"/>
                <w:szCs w:val="20"/>
              </w:rPr>
              <w:t>Nein</w:t>
            </w:r>
          </w:p>
        </w:tc>
        <w:tc>
          <w:tcPr>
            <w:tcW w:w="7547" w:type="dxa"/>
            <w:shd w:val="clear" w:color="auto" w:fill="D9D9D9" w:themeFill="background1" w:themeFillShade="D9"/>
            <w:vAlign w:val="center"/>
          </w:tcPr>
          <w:p w:rsidR="002C0060" w:rsidRPr="0052059C" w:rsidRDefault="00BF2C8B" w:rsidP="0052059C">
            <w:pPr>
              <w:rPr>
                <w:b/>
                <w:sz w:val="20"/>
                <w:szCs w:val="20"/>
              </w:rPr>
            </w:pPr>
            <w:r w:rsidRPr="0052059C">
              <w:rPr>
                <w:b/>
                <w:sz w:val="20"/>
                <w:szCs w:val="20"/>
                <w:lang w:val="de-DE"/>
              </w:rPr>
              <w:t>Erläuterung</w:t>
            </w:r>
            <w:r w:rsidR="00B87611" w:rsidRPr="0052059C">
              <w:rPr>
                <w:b/>
                <w:sz w:val="20"/>
                <w:szCs w:val="20"/>
                <w:lang w:val="de-DE"/>
              </w:rPr>
              <w:t xml:space="preserve"> bei Ja</w:t>
            </w:r>
            <w:r w:rsidRPr="0052059C">
              <w:rPr>
                <w:b/>
                <w:sz w:val="20"/>
                <w:szCs w:val="20"/>
              </w:rPr>
              <w:t xml:space="preserve"> </w:t>
            </w:r>
          </w:p>
        </w:tc>
      </w:tr>
      <w:tr w:rsidR="002C0060" w:rsidRPr="0052059C" w:rsidTr="0052059C">
        <w:trPr>
          <w:trHeight w:val="397"/>
        </w:trPr>
        <w:tc>
          <w:tcPr>
            <w:tcW w:w="534" w:type="dxa"/>
            <w:vAlign w:val="center"/>
          </w:tcPr>
          <w:p w:rsidR="002C0060" w:rsidRPr="0052059C" w:rsidRDefault="002C0060" w:rsidP="0052059C">
            <w:pPr>
              <w:rPr>
                <w:sz w:val="20"/>
                <w:szCs w:val="20"/>
              </w:rPr>
            </w:pPr>
            <w:r w:rsidRPr="0052059C">
              <w:rPr>
                <w:sz w:val="20"/>
                <w:szCs w:val="20"/>
              </w:rPr>
              <w:t>1.</w:t>
            </w:r>
          </w:p>
        </w:tc>
        <w:tc>
          <w:tcPr>
            <w:tcW w:w="5059" w:type="dxa"/>
            <w:vAlign w:val="center"/>
          </w:tcPr>
          <w:p w:rsidR="002C0060" w:rsidRPr="0052059C" w:rsidRDefault="00B87611" w:rsidP="0052059C">
            <w:pPr>
              <w:rPr>
                <w:sz w:val="20"/>
                <w:szCs w:val="20"/>
                <w:lang w:val="de-DE"/>
              </w:rPr>
            </w:pPr>
            <w:r w:rsidRPr="0052059C">
              <w:rPr>
                <w:sz w:val="20"/>
                <w:szCs w:val="20"/>
                <w:lang w:val="de-DE"/>
              </w:rPr>
              <w:t>Werden neue gefährliche Stoffe gehandhab</w:t>
            </w:r>
            <w:r w:rsidR="009F368D" w:rsidRPr="0052059C">
              <w:rPr>
                <w:sz w:val="20"/>
                <w:szCs w:val="20"/>
                <w:lang w:val="de-DE"/>
              </w:rPr>
              <w:t>t?</w:t>
            </w:r>
          </w:p>
        </w:tc>
        <w:tc>
          <w:tcPr>
            <w:tcW w:w="737" w:type="dxa"/>
            <w:vAlign w:val="center"/>
          </w:tcPr>
          <w:p w:rsidR="002C0060" w:rsidRPr="0052059C" w:rsidRDefault="00BF2C8B" w:rsidP="0052059C">
            <w:pPr>
              <w:jc w:val="center"/>
              <w:rPr>
                <w:sz w:val="20"/>
                <w:szCs w:val="20"/>
              </w:rPr>
            </w:pPr>
            <w:r w:rsidRPr="0052059C">
              <w:rPr>
                <w:sz w:val="20"/>
                <w:szCs w:val="20"/>
              </w:rPr>
              <w:fldChar w:fldCharType="begin">
                <w:ffData>
                  <w:name w:val=""/>
                  <w:enabled/>
                  <w:calcOnExit w:val="0"/>
                  <w:checkBox>
                    <w:sizeAuto/>
                    <w:default w:val="0"/>
                  </w:checkBox>
                </w:ffData>
              </w:fldChar>
            </w:r>
            <w:r w:rsidRPr="0052059C">
              <w:rPr>
                <w:sz w:val="20"/>
                <w:szCs w:val="20"/>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37" w:type="dxa"/>
            <w:vAlign w:val="center"/>
          </w:tcPr>
          <w:p w:rsidR="002C0060" w:rsidRPr="0052059C" w:rsidRDefault="0016376B" w:rsidP="0052059C">
            <w:pPr>
              <w:jc w:val="center"/>
              <w:rPr>
                <w:sz w:val="20"/>
                <w:szCs w:val="20"/>
              </w:rPr>
            </w:pPr>
            <w:r w:rsidRPr="0052059C">
              <w:rPr>
                <w:sz w:val="20"/>
                <w:szCs w:val="20"/>
              </w:rPr>
              <w:fldChar w:fldCharType="begin">
                <w:ffData>
                  <w:name w:val=""/>
                  <w:enabled/>
                  <w:calcOnExit w:val="0"/>
                  <w:checkBox>
                    <w:sizeAuto/>
                    <w:default w:val="0"/>
                  </w:checkBox>
                </w:ffData>
              </w:fldChar>
            </w:r>
            <w:r w:rsidRPr="0052059C">
              <w:rPr>
                <w:sz w:val="20"/>
                <w:szCs w:val="20"/>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547" w:type="dxa"/>
            <w:vAlign w:val="center"/>
          </w:tcPr>
          <w:p w:rsidR="002C0060" w:rsidRPr="0052059C" w:rsidRDefault="00B87611" w:rsidP="0052059C">
            <w:pPr>
              <w:rPr>
                <w:noProof/>
                <w:sz w:val="20"/>
                <w:szCs w:val="20"/>
                <w:lang w:val="de-DE"/>
              </w:rPr>
            </w:pPr>
            <w:r w:rsidRPr="0052059C">
              <w:rPr>
                <w:noProof/>
                <w:sz w:val="20"/>
                <w:szCs w:val="20"/>
                <w:lang w:val="de-DE"/>
              </w:rPr>
              <w:fldChar w:fldCharType="begin">
                <w:ffData>
                  <w:name w:val="Text1"/>
                  <w:enabled/>
                  <w:calcOnExit w:val="0"/>
                  <w:textInput/>
                </w:ffData>
              </w:fldChar>
            </w:r>
            <w:bookmarkStart w:id="3" w:name="Text1"/>
            <w:r w:rsidRPr="0052059C">
              <w:rPr>
                <w:noProof/>
                <w:sz w:val="20"/>
                <w:szCs w:val="20"/>
                <w:lang w:val="de-DE"/>
              </w:rPr>
              <w:instrText xml:space="preserve"> FORMTEXT </w:instrText>
            </w:r>
            <w:r w:rsidRPr="0052059C">
              <w:rPr>
                <w:noProof/>
                <w:sz w:val="20"/>
                <w:szCs w:val="20"/>
                <w:lang w:val="de-DE"/>
              </w:rPr>
            </w:r>
            <w:r w:rsidRPr="0052059C">
              <w:rPr>
                <w:noProof/>
                <w:sz w:val="20"/>
                <w:szCs w:val="20"/>
                <w:lang w:val="de-DE"/>
              </w:rPr>
              <w:fldChar w:fldCharType="separate"/>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fldChar w:fldCharType="end"/>
            </w:r>
            <w:bookmarkEnd w:id="3"/>
          </w:p>
        </w:tc>
      </w:tr>
      <w:tr w:rsidR="002C0060" w:rsidRPr="0052059C" w:rsidTr="0052059C">
        <w:trPr>
          <w:trHeight w:val="850"/>
        </w:trPr>
        <w:tc>
          <w:tcPr>
            <w:tcW w:w="534" w:type="dxa"/>
            <w:vAlign w:val="center"/>
          </w:tcPr>
          <w:p w:rsidR="002C0060" w:rsidRPr="0052059C" w:rsidRDefault="002C0060" w:rsidP="0052059C">
            <w:pPr>
              <w:rPr>
                <w:sz w:val="20"/>
                <w:szCs w:val="20"/>
                <w:lang w:val="de-DE"/>
              </w:rPr>
            </w:pPr>
            <w:r w:rsidRPr="0052059C">
              <w:rPr>
                <w:sz w:val="20"/>
                <w:szCs w:val="20"/>
                <w:lang w:val="de-DE"/>
              </w:rPr>
              <w:t>2.</w:t>
            </w:r>
          </w:p>
        </w:tc>
        <w:tc>
          <w:tcPr>
            <w:tcW w:w="5059" w:type="dxa"/>
            <w:vAlign w:val="center"/>
          </w:tcPr>
          <w:p w:rsidR="003F5401" w:rsidRPr="0052059C" w:rsidRDefault="00B87611" w:rsidP="0052059C">
            <w:pPr>
              <w:rPr>
                <w:sz w:val="20"/>
                <w:szCs w:val="20"/>
                <w:lang w:val="de-DE"/>
              </w:rPr>
            </w:pPr>
            <w:r w:rsidRPr="0052059C">
              <w:rPr>
                <w:sz w:val="20"/>
                <w:szCs w:val="20"/>
                <w:lang w:val="de-DE"/>
              </w:rPr>
              <w:t>Werden die in der Anlage gehandhabten Stoffmengen bzw. Massenströme erhöht und können sie eine Auswirkung auf den Gefährdungsbereich haben?</w:t>
            </w:r>
            <w:r w:rsidR="009F368D" w:rsidRPr="0052059C">
              <w:rPr>
                <w:rStyle w:val="Funotenzeichen"/>
                <w:sz w:val="20"/>
                <w:szCs w:val="20"/>
                <w:lang w:val="de-DE"/>
              </w:rPr>
              <w:footnoteReference w:id="1"/>
            </w:r>
          </w:p>
        </w:tc>
        <w:tc>
          <w:tcPr>
            <w:tcW w:w="737" w:type="dxa"/>
            <w:vAlign w:val="center"/>
          </w:tcPr>
          <w:p w:rsidR="002C0060" w:rsidRPr="0052059C" w:rsidRDefault="00BF2C8B" w:rsidP="0052059C">
            <w:pPr>
              <w:jc w:val="center"/>
              <w:rPr>
                <w:sz w:val="20"/>
                <w:szCs w:val="20"/>
                <w:lang w:val="de-DE"/>
              </w:rPr>
            </w:pPr>
            <w:r w:rsidRPr="0052059C">
              <w:rPr>
                <w:sz w:val="20"/>
                <w:szCs w:val="20"/>
              </w:rPr>
              <w:fldChar w:fldCharType="begin">
                <w:ffData>
                  <w:name w:val=""/>
                  <w:enabled/>
                  <w:calcOnExit w:val="0"/>
                  <w:checkBox>
                    <w:sizeAuto/>
                    <w:default w:val="0"/>
                  </w:checkBox>
                </w:ffData>
              </w:fldChar>
            </w:r>
            <w:r w:rsidRPr="0052059C">
              <w:rPr>
                <w:sz w:val="20"/>
                <w:szCs w:val="20"/>
                <w:lang w:val="de-DE"/>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37" w:type="dxa"/>
            <w:vAlign w:val="center"/>
          </w:tcPr>
          <w:p w:rsidR="002C0060" w:rsidRPr="0052059C" w:rsidRDefault="0016376B" w:rsidP="0052059C">
            <w:pPr>
              <w:jc w:val="center"/>
              <w:rPr>
                <w:sz w:val="20"/>
                <w:szCs w:val="20"/>
                <w:lang w:val="de-DE"/>
              </w:rPr>
            </w:pPr>
            <w:r w:rsidRPr="0052059C">
              <w:rPr>
                <w:sz w:val="20"/>
                <w:szCs w:val="20"/>
              </w:rPr>
              <w:fldChar w:fldCharType="begin">
                <w:ffData>
                  <w:name w:val=""/>
                  <w:enabled/>
                  <w:calcOnExit w:val="0"/>
                  <w:checkBox>
                    <w:sizeAuto/>
                    <w:default w:val="0"/>
                  </w:checkBox>
                </w:ffData>
              </w:fldChar>
            </w:r>
            <w:r w:rsidRPr="0052059C">
              <w:rPr>
                <w:sz w:val="20"/>
                <w:szCs w:val="20"/>
                <w:lang w:val="de-DE"/>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547" w:type="dxa"/>
            <w:vAlign w:val="center"/>
          </w:tcPr>
          <w:p w:rsidR="002C0060" w:rsidRPr="0052059C" w:rsidRDefault="00B87611" w:rsidP="0052059C">
            <w:pPr>
              <w:rPr>
                <w:noProof/>
                <w:sz w:val="20"/>
                <w:szCs w:val="20"/>
                <w:lang w:val="de-DE"/>
              </w:rPr>
            </w:pPr>
            <w:r w:rsidRPr="0052059C">
              <w:rPr>
                <w:noProof/>
                <w:sz w:val="20"/>
                <w:szCs w:val="20"/>
                <w:lang w:val="de-DE"/>
              </w:rPr>
              <w:fldChar w:fldCharType="begin">
                <w:ffData>
                  <w:name w:val="Text2"/>
                  <w:enabled/>
                  <w:calcOnExit w:val="0"/>
                  <w:textInput/>
                </w:ffData>
              </w:fldChar>
            </w:r>
            <w:bookmarkStart w:id="4" w:name="Text2"/>
            <w:r w:rsidRPr="0052059C">
              <w:rPr>
                <w:noProof/>
                <w:sz w:val="20"/>
                <w:szCs w:val="20"/>
                <w:lang w:val="de-DE"/>
              </w:rPr>
              <w:instrText xml:space="preserve"> FORMTEXT </w:instrText>
            </w:r>
            <w:r w:rsidRPr="0052059C">
              <w:rPr>
                <w:noProof/>
                <w:sz w:val="20"/>
                <w:szCs w:val="20"/>
                <w:lang w:val="de-DE"/>
              </w:rPr>
            </w:r>
            <w:r w:rsidRPr="0052059C">
              <w:rPr>
                <w:noProof/>
                <w:sz w:val="20"/>
                <w:szCs w:val="20"/>
                <w:lang w:val="de-DE"/>
              </w:rPr>
              <w:fldChar w:fldCharType="separate"/>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fldChar w:fldCharType="end"/>
            </w:r>
            <w:bookmarkEnd w:id="4"/>
          </w:p>
        </w:tc>
      </w:tr>
      <w:tr w:rsidR="002C0060" w:rsidRPr="0052059C" w:rsidTr="0052059C">
        <w:trPr>
          <w:trHeight w:val="850"/>
        </w:trPr>
        <w:tc>
          <w:tcPr>
            <w:tcW w:w="534" w:type="dxa"/>
            <w:vAlign w:val="center"/>
          </w:tcPr>
          <w:p w:rsidR="002C0060" w:rsidRPr="0052059C" w:rsidRDefault="002C0060" w:rsidP="0052059C">
            <w:pPr>
              <w:rPr>
                <w:sz w:val="20"/>
                <w:szCs w:val="20"/>
                <w:lang w:val="de-DE"/>
              </w:rPr>
            </w:pPr>
            <w:r w:rsidRPr="0052059C">
              <w:rPr>
                <w:sz w:val="20"/>
                <w:szCs w:val="20"/>
                <w:lang w:val="de-DE"/>
              </w:rPr>
              <w:t>3.</w:t>
            </w:r>
          </w:p>
        </w:tc>
        <w:tc>
          <w:tcPr>
            <w:tcW w:w="5059" w:type="dxa"/>
            <w:vAlign w:val="center"/>
          </w:tcPr>
          <w:p w:rsidR="003F5401" w:rsidRPr="0052059C" w:rsidRDefault="00B87611" w:rsidP="0052059C">
            <w:pPr>
              <w:rPr>
                <w:sz w:val="20"/>
                <w:szCs w:val="20"/>
                <w:lang w:val="de-DE"/>
              </w:rPr>
            </w:pPr>
            <w:r w:rsidRPr="0052059C">
              <w:rPr>
                <w:sz w:val="20"/>
                <w:szCs w:val="20"/>
                <w:lang w:val="de-DE"/>
              </w:rPr>
              <w:t>Haben sich die das Gefahrenpotential prägenden Verfahrensparameter wie Druck oder Temperatur signifikant geändert?</w:t>
            </w:r>
          </w:p>
        </w:tc>
        <w:tc>
          <w:tcPr>
            <w:tcW w:w="737" w:type="dxa"/>
            <w:vAlign w:val="center"/>
          </w:tcPr>
          <w:p w:rsidR="002C0060" w:rsidRPr="0052059C" w:rsidRDefault="00FF3274" w:rsidP="0052059C">
            <w:pPr>
              <w:jc w:val="center"/>
              <w:rPr>
                <w:sz w:val="20"/>
                <w:szCs w:val="20"/>
              </w:rPr>
            </w:pPr>
            <w:r w:rsidRPr="0052059C">
              <w:rPr>
                <w:sz w:val="20"/>
                <w:szCs w:val="20"/>
              </w:rPr>
              <w:fldChar w:fldCharType="begin">
                <w:ffData>
                  <w:name w:val=""/>
                  <w:enabled/>
                  <w:calcOnExit w:val="0"/>
                  <w:checkBox>
                    <w:sizeAuto/>
                    <w:default w:val="0"/>
                  </w:checkBox>
                </w:ffData>
              </w:fldChar>
            </w:r>
            <w:r w:rsidRPr="0052059C">
              <w:rPr>
                <w:sz w:val="20"/>
                <w:szCs w:val="20"/>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37" w:type="dxa"/>
            <w:vAlign w:val="center"/>
          </w:tcPr>
          <w:p w:rsidR="002C0060" w:rsidRPr="0052059C" w:rsidRDefault="00BF2C8B" w:rsidP="0052059C">
            <w:pPr>
              <w:jc w:val="center"/>
              <w:rPr>
                <w:sz w:val="20"/>
                <w:szCs w:val="20"/>
              </w:rPr>
            </w:pPr>
            <w:r w:rsidRPr="0052059C">
              <w:rPr>
                <w:sz w:val="20"/>
                <w:szCs w:val="20"/>
              </w:rPr>
              <w:fldChar w:fldCharType="begin">
                <w:ffData>
                  <w:name w:val=""/>
                  <w:enabled/>
                  <w:calcOnExit w:val="0"/>
                  <w:checkBox>
                    <w:sizeAuto/>
                    <w:default w:val="0"/>
                  </w:checkBox>
                </w:ffData>
              </w:fldChar>
            </w:r>
            <w:r w:rsidRPr="0052059C">
              <w:rPr>
                <w:sz w:val="20"/>
                <w:szCs w:val="20"/>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547" w:type="dxa"/>
            <w:vAlign w:val="center"/>
          </w:tcPr>
          <w:p w:rsidR="002C0060" w:rsidRPr="0052059C" w:rsidRDefault="00B87611" w:rsidP="0052059C">
            <w:pPr>
              <w:rPr>
                <w:noProof/>
                <w:sz w:val="20"/>
                <w:szCs w:val="20"/>
                <w:lang w:val="de-DE"/>
              </w:rPr>
            </w:pPr>
            <w:r w:rsidRPr="0052059C">
              <w:rPr>
                <w:noProof/>
                <w:sz w:val="20"/>
                <w:szCs w:val="20"/>
                <w:lang w:val="de-DE"/>
              </w:rPr>
              <w:fldChar w:fldCharType="begin">
                <w:ffData>
                  <w:name w:val="Text3"/>
                  <w:enabled/>
                  <w:calcOnExit w:val="0"/>
                  <w:textInput/>
                </w:ffData>
              </w:fldChar>
            </w:r>
            <w:bookmarkStart w:id="5" w:name="Text3"/>
            <w:r w:rsidRPr="0052059C">
              <w:rPr>
                <w:noProof/>
                <w:sz w:val="20"/>
                <w:szCs w:val="20"/>
                <w:lang w:val="de-DE"/>
              </w:rPr>
              <w:instrText xml:space="preserve"> FORMTEXT </w:instrText>
            </w:r>
            <w:r w:rsidRPr="0052059C">
              <w:rPr>
                <w:noProof/>
                <w:sz w:val="20"/>
                <w:szCs w:val="20"/>
                <w:lang w:val="de-DE"/>
              </w:rPr>
            </w:r>
            <w:r w:rsidRPr="0052059C">
              <w:rPr>
                <w:noProof/>
                <w:sz w:val="20"/>
                <w:szCs w:val="20"/>
                <w:lang w:val="de-DE"/>
              </w:rPr>
              <w:fldChar w:fldCharType="separate"/>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fldChar w:fldCharType="end"/>
            </w:r>
            <w:bookmarkEnd w:id="5"/>
          </w:p>
        </w:tc>
      </w:tr>
      <w:tr w:rsidR="002C0060" w:rsidRPr="0052059C" w:rsidTr="0052059C">
        <w:trPr>
          <w:trHeight w:val="1247"/>
        </w:trPr>
        <w:tc>
          <w:tcPr>
            <w:tcW w:w="534" w:type="dxa"/>
            <w:vAlign w:val="center"/>
          </w:tcPr>
          <w:p w:rsidR="002C0060" w:rsidRPr="0052059C" w:rsidRDefault="003F5401" w:rsidP="0052059C">
            <w:pPr>
              <w:rPr>
                <w:sz w:val="20"/>
                <w:szCs w:val="20"/>
              </w:rPr>
            </w:pPr>
            <w:r w:rsidRPr="0052059C">
              <w:rPr>
                <w:sz w:val="20"/>
                <w:szCs w:val="20"/>
              </w:rPr>
              <w:t>4</w:t>
            </w:r>
            <w:r w:rsidR="002C0060" w:rsidRPr="0052059C">
              <w:rPr>
                <w:sz w:val="20"/>
                <w:szCs w:val="20"/>
              </w:rPr>
              <w:t>.</w:t>
            </w:r>
          </w:p>
        </w:tc>
        <w:tc>
          <w:tcPr>
            <w:tcW w:w="5059" w:type="dxa"/>
            <w:vAlign w:val="center"/>
          </w:tcPr>
          <w:p w:rsidR="003F5401" w:rsidRPr="0052059C" w:rsidRDefault="00B87611" w:rsidP="0052059C">
            <w:pPr>
              <w:rPr>
                <w:sz w:val="20"/>
                <w:szCs w:val="20"/>
                <w:lang w:val="de-DE"/>
              </w:rPr>
            </w:pPr>
            <w:r w:rsidRPr="0052059C">
              <w:rPr>
                <w:sz w:val="20"/>
                <w:szCs w:val="20"/>
                <w:lang w:val="de-DE"/>
              </w:rPr>
              <w:t>Haben sich die für die Beurteilung von Störfallauswirkungen relevanten Parameter wie z.B. toxikologische Beurteilungswerte der vom Antragsgegenstand betroffenen Stoffe so verändert, dass eine Neubewertung der Situation erforderlich ist?</w:t>
            </w:r>
          </w:p>
        </w:tc>
        <w:tc>
          <w:tcPr>
            <w:tcW w:w="737" w:type="dxa"/>
            <w:vAlign w:val="center"/>
          </w:tcPr>
          <w:p w:rsidR="002C0060" w:rsidRPr="0052059C" w:rsidRDefault="002C0060" w:rsidP="0052059C">
            <w:pPr>
              <w:jc w:val="center"/>
              <w:rPr>
                <w:sz w:val="20"/>
                <w:szCs w:val="20"/>
                <w:lang w:val="de-DE"/>
              </w:rPr>
            </w:pPr>
            <w:r w:rsidRPr="0052059C">
              <w:rPr>
                <w:sz w:val="20"/>
                <w:szCs w:val="20"/>
              </w:rPr>
              <w:fldChar w:fldCharType="begin">
                <w:ffData>
                  <w:name w:val="Kontrollkästchen1"/>
                  <w:enabled/>
                  <w:calcOnExit w:val="0"/>
                  <w:checkBox>
                    <w:sizeAuto/>
                    <w:default w:val="0"/>
                  </w:checkBox>
                </w:ffData>
              </w:fldChar>
            </w:r>
            <w:r w:rsidRPr="0052059C">
              <w:rPr>
                <w:sz w:val="20"/>
                <w:szCs w:val="20"/>
                <w:lang w:val="de-DE"/>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37" w:type="dxa"/>
            <w:vAlign w:val="center"/>
          </w:tcPr>
          <w:p w:rsidR="002C0060" w:rsidRPr="0052059C" w:rsidRDefault="00BF2C8B" w:rsidP="0052059C">
            <w:pPr>
              <w:jc w:val="center"/>
              <w:rPr>
                <w:sz w:val="20"/>
                <w:szCs w:val="20"/>
                <w:lang w:val="de-DE"/>
              </w:rPr>
            </w:pPr>
            <w:r w:rsidRPr="0052059C">
              <w:rPr>
                <w:sz w:val="20"/>
                <w:szCs w:val="20"/>
              </w:rPr>
              <w:fldChar w:fldCharType="begin">
                <w:ffData>
                  <w:name w:val=""/>
                  <w:enabled/>
                  <w:calcOnExit w:val="0"/>
                  <w:checkBox>
                    <w:sizeAuto/>
                    <w:default w:val="0"/>
                  </w:checkBox>
                </w:ffData>
              </w:fldChar>
            </w:r>
            <w:r w:rsidRPr="0052059C">
              <w:rPr>
                <w:sz w:val="20"/>
                <w:szCs w:val="20"/>
                <w:lang w:val="de-DE"/>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547" w:type="dxa"/>
            <w:vAlign w:val="center"/>
          </w:tcPr>
          <w:p w:rsidR="002C0060" w:rsidRPr="0052059C" w:rsidRDefault="00B87611" w:rsidP="0052059C">
            <w:pPr>
              <w:rPr>
                <w:noProof/>
                <w:sz w:val="20"/>
                <w:szCs w:val="20"/>
              </w:rPr>
            </w:pPr>
            <w:r w:rsidRPr="0052059C">
              <w:rPr>
                <w:noProof/>
                <w:sz w:val="20"/>
                <w:szCs w:val="20"/>
              </w:rPr>
              <w:fldChar w:fldCharType="begin">
                <w:ffData>
                  <w:name w:val="Text4"/>
                  <w:enabled/>
                  <w:calcOnExit w:val="0"/>
                  <w:textInput/>
                </w:ffData>
              </w:fldChar>
            </w:r>
            <w:bookmarkStart w:id="6" w:name="Text4"/>
            <w:r w:rsidRPr="0052059C">
              <w:rPr>
                <w:noProof/>
                <w:sz w:val="20"/>
                <w:szCs w:val="20"/>
              </w:rPr>
              <w:instrText xml:space="preserve"> FORMTEXT </w:instrText>
            </w:r>
            <w:r w:rsidRPr="0052059C">
              <w:rPr>
                <w:noProof/>
                <w:sz w:val="20"/>
                <w:szCs w:val="20"/>
              </w:rPr>
            </w:r>
            <w:r w:rsidRPr="0052059C">
              <w:rPr>
                <w:noProof/>
                <w:sz w:val="20"/>
                <w:szCs w:val="20"/>
              </w:rPr>
              <w:fldChar w:fldCharType="separate"/>
            </w:r>
            <w:r w:rsidRPr="0052059C">
              <w:rPr>
                <w:noProof/>
                <w:sz w:val="20"/>
                <w:szCs w:val="20"/>
              </w:rPr>
              <w:t> </w:t>
            </w:r>
            <w:r w:rsidRPr="0052059C">
              <w:rPr>
                <w:noProof/>
                <w:sz w:val="20"/>
                <w:szCs w:val="20"/>
              </w:rPr>
              <w:t> </w:t>
            </w:r>
            <w:r w:rsidRPr="0052059C">
              <w:rPr>
                <w:noProof/>
                <w:sz w:val="20"/>
                <w:szCs w:val="20"/>
              </w:rPr>
              <w:t> </w:t>
            </w:r>
            <w:r w:rsidRPr="0052059C">
              <w:rPr>
                <w:noProof/>
                <w:sz w:val="20"/>
                <w:szCs w:val="20"/>
              </w:rPr>
              <w:t> </w:t>
            </w:r>
            <w:r w:rsidRPr="0052059C">
              <w:rPr>
                <w:noProof/>
                <w:sz w:val="20"/>
                <w:szCs w:val="20"/>
              </w:rPr>
              <w:t> </w:t>
            </w:r>
            <w:r w:rsidRPr="0052059C">
              <w:rPr>
                <w:noProof/>
                <w:sz w:val="20"/>
                <w:szCs w:val="20"/>
              </w:rPr>
              <w:fldChar w:fldCharType="end"/>
            </w:r>
            <w:bookmarkEnd w:id="6"/>
          </w:p>
        </w:tc>
      </w:tr>
      <w:tr w:rsidR="002C0060" w:rsidRPr="0052059C" w:rsidTr="0052059C">
        <w:trPr>
          <w:trHeight w:val="1247"/>
        </w:trPr>
        <w:tc>
          <w:tcPr>
            <w:tcW w:w="534" w:type="dxa"/>
            <w:vAlign w:val="center"/>
          </w:tcPr>
          <w:p w:rsidR="002C0060" w:rsidRPr="0052059C" w:rsidRDefault="003F5401" w:rsidP="0052059C">
            <w:pPr>
              <w:rPr>
                <w:sz w:val="20"/>
                <w:szCs w:val="20"/>
              </w:rPr>
            </w:pPr>
            <w:r w:rsidRPr="0052059C">
              <w:rPr>
                <w:sz w:val="20"/>
                <w:szCs w:val="20"/>
              </w:rPr>
              <w:t>5</w:t>
            </w:r>
            <w:r w:rsidR="002C0060" w:rsidRPr="0052059C">
              <w:rPr>
                <w:sz w:val="20"/>
                <w:szCs w:val="20"/>
              </w:rPr>
              <w:t>.</w:t>
            </w:r>
          </w:p>
        </w:tc>
        <w:tc>
          <w:tcPr>
            <w:tcW w:w="5059" w:type="dxa"/>
            <w:vAlign w:val="center"/>
          </w:tcPr>
          <w:p w:rsidR="002C0060" w:rsidRPr="0052059C" w:rsidRDefault="00B87611" w:rsidP="0052059C">
            <w:pPr>
              <w:rPr>
                <w:sz w:val="20"/>
                <w:szCs w:val="20"/>
                <w:lang w:val="de-DE"/>
              </w:rPr>
            </w:pPr>
            <w:r w:rsidRPr="0052059C">
              <w:rPr>
                <w:sz w:val="20"/>
                <w:szCs w:val="20"/>
                <w:lang w:val="de-DE"/>
              </w:rPr>
              <w:t>Hat sich die örtliche Lage der Anlage dahingehend verändert, dass sich der Abstand zwischen sicherheitsrelevanten Anlagenteilen und schutzbedürftiger Gebäude / Gebiete deutlich verringert hat?</w:t>
            </w:r>
          </w:p>
        </w:tc>
        <w:bookmarkStart w:id="7" w:name="_GoBack"/>
        <w:tc>
          <w:tcPr>
            <w:tcW w:w="737" w:type="dxa"/>
            <w:vAlign w:val="center"/>
          </w:tcPr>
          <w:p w:rsidR="002C0060" w:rsidRPr="0052059C" w:rsidRDefault="00FF3274" w:rsidP="0052059C">
            <w:pPr>
              <w:jc w:val="center"/>
              <w:rPr>
                <w:sz w:val="20"/>
                <w:szCs w:val="20"/>
              </w:rPr>
            </w:pPr>
            <w:r w:rsidRPr="0052059C">
              <w:rPr>
                <w:sz w:val="20"/>
                <w:szCs w:val="20"/>
              </w:rPr>
              <w:fldChar w:fldCharType="begin">
                <w:ffData>
                  <w:name w:val=""/>
                  <w:enabled/>
                  <w:calcOnExit w:val="0"/>
                  <w:checkBox>
                    <w:sizeAuto/>
                    <w:default w:val="0"/>
                  </w:checkBox>
                </w:ffData>
              </w:fldChar>
            </w:r>
            <w:r w:rsidRPr="0052059C">
              <w:rPr>
                <w:sz w:val="20"/>
                <w:szCs w:val="20"/>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bookmarkEnd w:id="7"/>
          </w:p>
        </w:tc>
        <w:tc>
          <w:tcPr>
            <w:tcW w:w="737" w:type="dxa"/>
            <w:vAlign w:val="center"/>
          </w:tcPr>
          <w:p w:rsidR="002C0060" w:rsidRPr="0052059C" w:rsidRDefault="00BF2C8B" w:rsidP="0052059C">
            <w:pPr>
              <w:jc w:val="center"/>
              <w:rPr>
                <w:sz w:val="20"/>
                <w:szCs w:val="20"/>
              </w:rPr>
            </w:pPr>
            <w:r w:rsidRPr="0052059C">
              <w:rPr>
                <w:sz w:val="20"/>
                <w:szCs w:val="20"/>
              </w:rPr>
              <w:fldChar w:fldCharType="begin">
                <w:ffData>
                  <w:name w:val=""/>
                  <w:enabled/>
                  <w:calcOnExit w:val="0"/>
                  <w:checkBox>
                    <w:sizeAuto/>
                    <w:default w:val="0"/>
                  </w:checkBox>
                </w:ffData>
              </w:fldChar>
            </w:r>
            <w:r w:rsidRPr="0052059C">
              <w:rPr>
                <w:sz w:val="20"/>
                <w:szCs w:val="20"/>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547" w:type="dxa"/>
            <w:vAlign w:val="center"/>
          </w:tcPr>
          <w:p w:rsidR="002C0060" w:rsidRPr="0052059C" w:rsidRDefault="00B87611" w:rsidP="0052059C">
            <w:pPr>
              <w:rPr>
                <w:sz w:val="20"/>
                <w:szCs w:val="20"/>
                <w:lang w:val="de-DE"/>
              </w:rPr>
            </w:pPr>
            <w:r w:rsidRPr="0052059C">
              <w:rPr>
                <w:sz w:val="20"/>
                <w:szCs w:val="20"/>
                <w:lang w:val="de-DE"/>
              </w:rPr>
              <w:fldChar w:fldCharType="begin">
                <w:ffData>
                  <w:name w:val="Text5"/>
                  <w:enabled/>
                  <w:calcOnExit w:val="0"/>
                  <w:textInput/>
                </w:ffData>
              </w:fldChar>
            </w:r>
            <w:bookmarkStart w:id="8" w:name="Text5"/>
            <w:r w:rsidRPr="0052059C">
              <w:rPr>
                <w:sz w:val="20"/>
                <w:szCs w:val="20"/>
                <w:lang w:val="de-DE"/>
              </w:rPr>
              <w:instrText xml:space="preserve"> FORMTEXT </w:instrText>
            </w:r>
            <w:r w:rsidRPr="0052059C">
              <w:rPr>
                <w:sz w:val="20"/>
                <w:szCs w:val="20"/>
                <w:lang w:val="de-DE"/>
              </w:rPr>
            </w:r>
            <w:r w:rsidRPr="0052059C">
              <w:rPr>
                <w:sz w:val="20"/>
                <w:szCs w:val="20"/>
                <w:lang w:val="de-DE"/>
              </w:rPr>
              <w:fldChar w:fldCharType="separate"/>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noProof/>
                <w:sz w:val="20"/>
                <w:szCs w:val="20"/>
                <w:lang w:val="de-DE"/>
              </w:rPr>
              <w:t> </w:t>
            </w:r>
            <w:r w:rsidRPr="0052059C">
              <w:rPr>
                <w:sz w:val="20"/>
                <w:szCs w:val="20"/>
                <w:lang w:val="de-DE"/>
              </w:rPr>
              <w:fldChar w:fldCharType="end"/>
            </w:r>
            <w:bookmarkEnd w:id="8"/>
          </w:p>
        </w:tc>
      </w:tr>
      <w:tr w:rsidR="002C0060" w:rsidRPr="0052059C" w:rsidTr="0052059C">
        <w:trPr>
          <w:trHeight w:val="624"/>
        </w:trPr>
        <w:tc>
          <w:tcPr>
            <w:tcW w:w="534" w:type="dxa"/>
            <w:vAlign w:val="center"/>
          </w:tcPr>
          <w:p w:rsidR="002C0060" w:rsidRPr="0052059C" w:rsidRDefault="003F5401" w:rsidP="0052059C">
            <w:pPr>
              <w:rPr>
                <w:sz w:val="20"/>
                <w:szCs w:val="20"/>
              </w:rPr>
            </w:pPr>
            <w:r w:rsidRPr="0052059C">
              <w:rPr>
                <w:sz w:val="20"/>
                <w:szCs w:val="20"/>
              </w:rPr>
              <w:t>6</w:t>
            </w:r>
            <w:r w:rsidR="002C0060" w:rsidRPr="0052059C">
              <w:rPr>
                <w:sz w:val="20"/>
                <w:szCs w:val="20"/>
              </w:rPr>
              <w:t>.</w:t>
            </w:r>
          </w:p>
        </w:tc>
        <w:tc>
          <w:tcPr>
            <w:tcW w:w="5059" w:type="dxa"/>
            <w:vAlign w:val="center"/>
          </w:tcPr>
          <w:p w:rsidR="002C0060" w:rsidRPr="0052059C" w:rsidRDefault="00B87611" w:rsidP="0052059C">
            <w:pPr>
              <w:rPr>
                <w:sz w:val="20"/>
                <w:szCs w:val="20"/>
                <w:lang w:val="de-DE"/>
              </w:rPr>
            </w:pPr>
            <w:r w:rsidRPr="0052059C">
              <w:rPr>
                <w:sz w:val="20"/>
                <w:szCs w:val="20"/>
                <w:lang w:val="de-DE"/>
              </w:rPr>
              <w:t>Beinhaltet der Antrag ein grundsätzlich anderes Verfahren bzw. eine grundsätzlich andere Lagerart?</w:t>
            </w:r>
          </w:p>
        </w:tc>
        <w:tc>
          <w:tcPr>
            <w:tcW w:w="737" w:type="dxa"/>
            <w:vAlign w:val="center"/>
          </w:tcPr>
          <w:p w:rsidR="002C0060" w:rsidRPr="0052059C" w:rsidRDefault="002C0060" w:rsidP="0052059C">
            <w:pPr>
              <w:jc w:val="center"/>
              <w:rPr>
                <w:sz w:val="20"/>
                <w:szCs w:val="20"/>
                <w:lang w:val="de-DE"/>
              </w:rPr>
            </w:pPr>
            <w:r w:rsidRPr="0052059C">
              <w:rPr>
                <w:sz w:val="20"/>
                <w:szCs w:val="20"/>
              </w:rPr>
              <w:fldChar w:fldCharType="begin">
                <w:ffData>
                  <w:name w:val="Kontrollkästchen1"/>
                  <w:enabled/>
                  <w:calcOnExit w:val="0"/>
                  <w:checkBox>
                    <w:sizeAuto/>
                    <w:default w:val="0"/>
                  </w:checkBox>
                </w:ffData>
              </w:fldChar>
            </w:r>
            <w:r w:rsidRPr="0052059C">
              <w:rPr>
                <w:sz w:val="20"/>
                <w:szCs w:val="20"/>
                <w:lang w:val="de-DE"/>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37" w:type="dxa"/>
            <w:vAlign w:val="center"/>
          </w:tcPr>
          <w:p w:rsidR="002C0060" w:rsidRPr="0052059C" w:rsidRDefault="00BF2C8B" w:rsidP="0052059C">
            <w:pPr>
              <w:jc w:val="center"/>
              <w:rPr>
                <w:sz w:val="20"/>
                <w:szCs w:val="20"/>
                <w:lang w:val="de-DE"/>
              </w:rPr>
            </w:pPr>
            <w:r w:rsidRPr="0052059C">
              <w:rPr>
                <w:sz w:val="20"/>
                <w:szCs w:val="20"/>
              </w:rPr>
              <w:fldChar w:fldCharType="begin">
                <w:ffData>
                  <w:name w:val=""/>
                  <w:enabled/>
                  <w:calcOnExit w:val="0"/>
                  <w:checkBox>
                    <w:sizeAuto/>
                    <w:default w:val="0"/>
                  </w:checkBox>
                </w:ffData>
              </w:fldChar>
            </w:r>
            <w:r w:rsidRPr="0052059C">
              <w:rPr>
                <w:sz w:val="20"/>
                <w:szCs w:val="20"/>
                <w:lang w:val="de-DE"/>
              </w:rPr>
              <w:instrText xml:space="preserve"> FORMCHECKBOX </w:instrText>
            </w:r>
            <w:r w:rsidR="00F66510">
              <w:rPr>
                <w:sz w:val="20"/>
                <w:szCs w:val="20"/>
              </w:rPr>
            </w:r>
            <w:r w:rsidR="00F66510">
              <w:rPr>
                <w:sz w:val="20"/>
                <w:szCs w:val="20"/>
              </w:rPr>
              <w:fldChar w:fldCharType="separate"/>
            </w:r>
            <w:r w:rsidRPr="0052059C">
              <w:rPr>
                <w:sz w:val="20"/>
                <w:szCs w:val="20"/>
              </w:rPr>
              <w:fldChar w:fldCharType="end"/>
            </w:r>
          </w:p>
        </w:tc>
        <w:tc>
          <w:tcPr>
            <w:tcW w:w="7547" w:type="dxa"/>
            <w:vAlign w:val="center"/>
          </w:tcPr>
          <w:p w:rsidR="002C0060" w:rsidRPr="0052059C" w:rsidRDefault="00B87611" w:rsidP="0052059C">
            <w:pPr>
              <w:rPr>
                <w:sz w:val="20"/>
                <w:szCs w:val="20"/>
                <w:lang w:val="de-DE"/>
              </w:rPr>
            </w:pPr>
            <w:r w:rsidRPr="0052059C">
              <w:rPr>
                <w:sz w:val="20"/>
                <w:szCs w:val="20"/>
              </w:rPr>
              <w:fldChar w:fldCharType="begin">
                <w:ffData>
                  <w:name w:val="Text6"/>
                  <w:enabled/>
                  <w:calcOnExit w:val="0"/>
                  <w:textInput/>
                </w:ffData>
              </w:fldChar>
            </w:r>
            <w:bookmarkStart w:id="9" w:name="Text6"/>
            <w:r w:rsidRPr="0052059C">
              <w:rPr>
                <w:sz w:val="20"/>
                <w:szCs w:val="20"/>
                <w:lang w:val="de-DE"/>
              </w:rPr>
              <w:instrText xml:space="preserve"> FORMTEXT </w:instrText>
            </w:r>
            <w:r w:rsidRPr="0052059C">
              <w:rPr>
                <w:sz w:val="20"/>
                <w:szCs w:val="20"/>
              </w:rPr>
            </w:r>
            <w:r w:rsidRPr="0052059C">
              <w:rPr>
                <w:sz w:val="20"/>
                <w:szCs w:val="20"/>
              </w:rPr>
              <w:fldChar w:fldCharType="separate"/>
            </w:r>
            <w:r w:rsidRPr="0052059C">
              <w:rPr>
                <w:noProof/>
                <w:sz w:val="20"/>
                <w:szCs w:val="20"/>
              </w:rPr>
              <w:t> </w:t>
            </w:r>
            <w:r w:rsidRPr="0052059C">
              <w:rPr>
                <w:noProof/>
                <w:sz w:val="20"/>
                <w:szCs w:val="20"/>
              </w:rPr>
              <w:t> </w:t>
            </w:r>
            <w:r w:rsidRPr="0052059C">
              <w:rPr>
                <w:noProof/>
                <w:sz w:val="20"/>
                <w:szCs w:val="20"/>
              </w:rPr>
              <w:t> </w:t>
            </w:r>
            <w:r w:rsidRPr="0052059C">
              <w:rPr>
                <w:noProof/>
                <w:sz w:val="20"/>
                <w:szCs w:val="20"/>
              </w:rPr>
              <w:t> </w:t>
            </w:r>
            <w:r w:rsidRPr="0052059C">
              <w:rPr>
                <w:noProof/>
                <w:sz w:val="20"/>
                <w:szCs w:val="20"/>
              </w:rPr>
              <w:t> </w:t>
            </w:r>
            <w:r w:rsidRPr="0052059C">
              <w:rPr>
                <w:sz w:val="20"/>
                <w:szCs w:val="20"/>
              </w:rPr>
              <w:fldChar w:fldCharType="end"/>
            </w:r>
            <w:bookmarkEnd w:id="9"/>
          </w:p>
        </w:tc>
      </w:tr>
    </w:tbl>
    <w:p w:rsidR="00F43AD6" w:rsidRPr="0052059C" w:rsidRDefault="0052059C" w:rsidP="00F43AD6">
      <w:pPr>
        <w:pStyle w:val="Block"/>
        <w:rPr>
          <w:rFonts w:cs="Arial"/>
          <w:sz w:val="20"/>
        </w:rPr>
      </w:pPr>
      <w:r>
        <w:rPr>
          <w:rFonts w:cs="Arial"/>
          <w:sz w:val="20"/>
        </w:rPr>
        <w:lastRenderedPageBreak/>
        <w:t>W</w:t>
      </w:r>
      <w:r w:rsidR="00B87611" w:rsidRPr="0052059C">
        <w:rPr>
          <w:rFonts w:cs="Arial"/>
          <w:sz w:val="20"/>
        </w:rPr>
        <w:t xml:space="preserve">enn </w:t>
      </w:r>
      <w:r w:rsidR="00B87611" w:rsidRPr="0052059C">
        <w:rPr>
          <w:rFonts w:cs="Arial"/>
          <w:sz w:val="20"/>
          <w:u w:val="single"/>
        </w:rPr>
        <w:t>keines</w:t>
      </w:r>
      <w:r w:rsidR="00B87611" w:rsidRPr="0052059C">
        <w:rPr>
          <w:rFonts w:cs="Arial"/>
          <w:sz w:val="20"/>
        </w:rPr>
        <w:t xml:space="preserve"> der o.g. Kriterien zutrifft, kann davon ausgegangen werden, dass sich der Gefährdungsbereich der Anlage bzw. des Betriebsbereichs durch das geplante Vorhaben </w:t>
      </w:r>
      <w:r w:rsidR="00B87611" w:rsidRPr="0052059C">
        <w:rPr>
          <w:rFonts w:cs="Arial"/>
          <w:sz w:val="20"/>
          <w:u w:val="single"/>
        </w:rPr>
        <w:t>nicht vergrößert</w:t>
      </w:r>
      <w:r w:rsidR="00B87611" w:rsidRPr="0052059C">
        <w:rPr>
          <w:rFonts w:cs="Arial"/>
          <w:sz w:val="20"/>
        </w:rPr>
        <w:t>.</w:t>
      </w:r>
    </w:p>
    <w:p w:rsidR="00B87611" w:rsidRPr="0052059C" w:rsidRDefault="00B87611" w:rsidP="00F43AD6">
      <w:pPr>
        <w:pStyle w:val="Block"/>
        <w:rPr>
          <w:rFonts w:cs="Arial"/>
          <w:sz w:val="20"/>
        </w:rPr>
      </w:pPr>
    </w:p>
    <w:p w:rsidR="00B87611" w:rsidRPr="0052059C" w:rsidRDefault="00B87611" w:rsidP="00F43AD6">
      <w:pPr>
        <w:pStyle w:val="Block"/>
        <w:rPr>
          <w:rFonts w:cs="Arial"/>
          <w:sz w:val="20"/>
        </w:rPr>
      </w:pPr>
      <w:r w:rsidRPr="0052059C">
        <w:rPr>
          <w:rFonts w:cs="Arial"/>
          <w:sz w:val="20"/>
        </w:rPr>
        <w:t xml:space="preserve">Wenn mindestens ein Kriterium zutrifft, ist anhand der zusätzlichen Erläuterungen zu entscheiden, ob eine mögliche Vergrößerung des Gefährdungsbereichs in einer Einzelfallprüfung nach KAS-18 zu überprüfen ist. </w:t>
      </w:r>
    </w:p>
    <w:p w:rsidR="00F43AD6" w:rsidRPr="0052059C" w:rsidRDefault="00F43AD6">
      <w:pPr>
        <w:rPr>
          <w:sz w:val="22"/>
          <w:lang w:val="de-DE"/>
        </w:rPr>
      </w:pPr>
    </w:p>
    <w:p w:rsidR="00F43AD6" w:rsidRPr="00BF2C8B" w:rsidRDefault="00F43AD6">
      <w:pPr>
        <w:rPr>
          <w:lang w:val="de-DE"/>
        </w:rPr>
      </w:pPr>
    </w:p>
    <w:sectPr w:rsidR="00F43AD6" w:rsidRPr="00BF2C8B" w:rsidSect="009F368D">
      <w:headerReference w:type="default" r:id="rId8"/>
      <w:footerReference w:type="default" r:id="rId9"/>
      <w:pgSz w:w="16838" w:h="11906" w:orient="landscape"/>
      <w:pgMar w:top="1417" w:right="1134"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10" w:rsidRDefault="00F66510">
      <w:r>
        <w:separator/>
      </w:r>
    </w:p>
  </w:endnote>
  <w:endnote w:type="continuationSeparator" w:id="0">
    <w:p w:rsidR="00F66510" w:rsidRDefault="00F6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1765828"/>
      <w:docPartObj>
        <w:docPartGallery w:val="Page Numbers (Bottom of Page)"/>
        <w:docPartUnique/>
      </w:docPartObj>
    </w:sdtPr>
    <w:sdtEndPr>
      <w:rPr>
        <w:sz w:val="20"/>
      </w:rPr>
    </w:sdtEndPr>
    <w:sdtContent>
      <w:sdt>
        <w:sdtPr>
          <w:rPr>
            <w:sz w:val="16"/>
            <w:szCs w:val="16"/>
          </w:rPr>
          <w:id w:val="1101996763"/>
          <w:docPartObj>
            <w:docPartGallery w:val="Page Numbers (Top of Page)"/>
            <w:docPartUnique/>
          </w:docPartObj>
        </w:sdtPr>
        <w:sdtEndPr>
          <w:rPr>
            <w:sz w:val="20"/>
          </w:rPr>
        </w:sdtEndPr>
        <w:sdtContent>
          <w:p w:rsidR="009F368D" w:rsidRPr="0052059C" w:rsidRDefault="009F368D">
            <w:pPr>
              <w:pStyle w:val="Fuzeile"/>
              <w:jc w:val="right"/>
              <w:rPr>
                <w:sz w:val="20"/>
                <w:szCs w:val="16"/>
              </w:rPr>
            </w:pPr>
            <w:r w:rsidRPr="0052059C">
              <w:rPr>
                <w:sz w:val="20"/>
                <w:szCs w:val="16"/>
                <w:lang w:val="de-DE"/>
              </w:rPr>
              <w:t xml:space="preserve">Seite </w:t>
            </w:r>
            <w:r w:rsidRPr="0052059C">
              <w:rPr>
                <w:b/>
                <w:bCs/>
                <w:sz w:val="20"/>
                <w:szCs w:val="16"/>
              </w:rPr>
              <w:fldChar w:fldCharType="begin"/>
            </w:r>
            <w:r w:rsidRPr="0052059C">
              <w:rPr>
                <w:b/>
                <w:bCs/>
                <w:sz w:val="20"/>
                <w:szCs w:val="16"/>
              </w:rPr>
              <w:instrText>PAGE</w:instrText>
            </w:r>
            <w:r w:rsidRPr="0052059C">
              <w:rPr>
                <w:b/>
                <w:bCs/>
                <w:sz w:val="20"/>
                <w:szCs w:val="16"/>
              </w:rPr>
              <w:fldChar w:fldCharType="separate"/>
            </w:r>
            <w:r w:rsidR="00F66510">
              <w:rPr>
                <w:b/>
                <w:bCs/>
                <w:noProof/>
                <w:sz w:val="20"/>
                <w:szCs w:val="16"/>
              </w:rPr>
              <w:t>1</w:t>
            </w:r>
            <w:r w:rsidRPr="0052059C">
              <w:rPr>
                <w:b/>
                <w:bCs/>
                <w:sz w:val="20"/>
                <w:szCs w:val="16"/>
              </w:rPr>
              <w:fldChar w:fldCharType="end"/>
            </w:r>
            <w:r w:rsidRPr="0052059C">
              <w:rPr>
                <w:sz w:val="20"/>
                <w:szCs w:val="16"/>
                <w:lang w:val="de-DE"/>
              </w:rPr>
              <w:t xml:space="preserve"> von </w:t>
            </w:r>
            <w:r w:rsidRPr="0052059C">
              <w:rPr>
                <w:b/>
                <w:bCs/>
                <w:sz w:val="20"/>
                <w:szCs w:val="16"/>
              </w:rPr>
              <w:fldChar w:fldCharType="begin"/>
            </w:r>
            <w:r w:rsidRPr="0052059C">
              <w:rPr>
                <w:b/>
                <w:bCs/>
                <w:sz w:val="20"/>
                <w:szCs w:val="16"/>
              </w:rPr>
              <w:instrText>NUMPAGES</w:instrText>
            </w:r>
            <w:r w:rsidRPr="0052059C">
              <w:rPr>
                <w:b/>
                <w:bCs/>
                <w:sz w:val="20"/>
                <w:szCs w:val="16"/>
              </w:rPr>
              <w:fldChar w:fldCharType="separate"/>
            </w:r>
            <w:r w:rsidR="00F66510">
              <w:rPr>
                <w:b/>
                <w:bCs/>
                <w:noProof/>
                <w:sz w:val="20"/>
                <w:szCs w:val="16"/>
              </w:rPr>
              <w:t>2</w:t>
            </w:r>
            <w:r w:rsidRPr="0052059C">
              <w:rPr>
                <w:b/>
                <w:bCs/>
                <w:sz w:val="20"/>
                <w:szCs w:val="16"/>
              </w:rPr>
              <w:fldChar w:fldCharType="end"/>
            </w:r>
          </w:p>
        </w:sdtContent>
      </w:sdt>
    </w:sdtContent>
  </w:sdt>
  <w:p w:rsidR="009F368D" w:rsidRPr="009F368D" w:rsidRDefault="009F368D" w:rsidP="009F36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10" w:rsidRDefault="00F66510">
      <w:r>
        <w:separator/>
      </w:r>
    </w:p>
  </w:footnote>
  <w:footnote w:type="continuationSeparator" w:id="0">
    <w:p w:rsidR="00F66510" w:rsidRDefault="00F66510">
      <w:r>
        <w:continuationSeparator/>
      </w:r>
    </w:p>
  </w:footnote>
  <w:footnote w:id="1">
    <w:p w:rsidR="009F368D" w:rsidRPr="009F368D" w:rsidRDefault="009F368D">
      <w:pPr>
        <w:pStyle w:val="Funotentext"/>
        <w:rPr>
          <w:sz w:val="16"/>
          <w:szCs w:val="16"/>
          <w:lang w:val="de-DE"/>
        </w:rPr>
      </w:pPr>
      <w:r>
        <w:rPr>
          <w:rStyle w:val="Funotenzeichen"/>
        </w:rPr>
        <w:footnoteRef/>
      </w:r>
      <w:r w:rsidRPr="009F368D">
        <w:rPr>
          <w:lang w:val="de-DE"/>
        </w:rPr>
        <w:t xml:space="preserve"> </w:t>
      </w:r>
      <w:r>
        <w:rPr>
          <w:sz w:val="16"/>
          <w:szCs w:val="16"/>
          <w:lang w:val="de-DE"/>
        </w:rPr>
        <w:t>In aller Regel ist davon auszugehen, dass die alleinige Erhöhung der Stoffmengen oder Massenströme nur einen Einfluss auf die möglichen Auswirkungen hat, wenn zugleich die größte zusammenhängende Masse (GZM) vergrößert wird. Siehe auch Punkt 7.2, Anstriche 1 und 2 der Vollzugshilfe zur Störfall-Verordnung, BMU (Hrsg.), Bonn,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E9" w:rsidRPr="0052059C" w:rsidRDefault="0052059C" w:rsidP="0052059C">
    <w:pPr>
      <w:pStyle w:val="Kopfzeile"/>
      <w:rPr>
        <w:sz w:val="20"/>
        <w:szCs w:val="18"/>
        <w:lang w:val="de-DE"/>
      </w:rPr>
    </w:pPr>
    <w:r>
      <w:rPr>
        <w:sz w:val="20"/>
        <w:szCs w:val="18"/>
        <w:lang w:val="de-DE"/>
      </w:rPr>
      <w:t>HE – Formular Kap. 14/3, Genehmigungsverfahren</w:t>
    </w:r>
    <w:r>
      <w:rPr>
        <w:sz w:val="20"/>
        <w:szCs w:val="18"/>
        <w:lang w:val="de-DE"/>
      </w:rPr>
      <w:tab/>
    </w:r>
    <w:r>
      <w:rPr>
        <w:sz w:val="20"/>
        <w:szCs w:val="18"/>
        <w:lang w:val="de-DE"/>
      </w:rPr>
      <w:tab/>
    </w:r>
    <w:r>
      <w:rPr>
        <w:sz w:val="20"/>
        <w:szCs w:val="18"/>
        <w:lang w:val="de-DE"/>
      </w:rPr>
      <w:tab/>
    </w:r>
    <w:r>
      <w:rPr>
        <w:sz w:val="20"/>
        <w:szCs w:val="18"/>
        <w:lang w:val="de-DE"/>
      </w:rPr>
      <w:tab/>
    </w:r>
    <w:r>
      <w:rPr>
        <w:sz w:val="20"/>
        <w:szCs w:val="18"/>
        <w:lang w:val="de-DE"/>
      </w:rPr>
      <w:tab/>
    </w:r>
    <w:r>
      <w:rPr>
        <w:sz w:val="20"/>
        <w:szCs w:val="18"/>
        <w:lang w:val="de-DE"/>
      </w:rPr>
      <w:tab/>
    </w:r>
    <w:r w:rsidR="00997D3B" w:rsidRPr="0052059C">
      <w:rPr>
        <w:sz w:val="20"/>
        <w:szCs w:val="18"/>
        <w:lang w:val="de-DE"/>
      </w:rPr>
      <w:t>S</w:t>
    </w:r>
    <w:r>
      <w:rPr>
        <w:sz w:val="20"/>
        <w:szCs w:val="18"/>
        <w:lang w:val="de-DE"/>
      </w:rPr>
      <w:t>tand</w:t>
    </w:r>
    <w:r w:rsidR="00997D3B" w:rsidRPr="0052059C">
      <w:rPr>
        <w:sz w:val="20"/>
        <w:szCs w:val="18"/>
        <w:lang w:val="de-DE"/>
      </w:rPr>
      <w:t xml:space="preserve"> </w:t>
    </w:r>
    <w:r w:rsidR="00F66510">
      <w:rPr>
        <w:sz w:val="20"/>
        <w:szCs w:val="18"/>
        <w:lang w:val="de-DE"/>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957"/>
    <w:multiLevelType w:val="hybridMultilevel"/>
    <w:tmpl w:val="87F665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9321A"/>
    <w:multiLevelType w:val="singleLevel"/>
    <w:tmpl w:val="B914A5C6"/>
    <w:lvl w:ilvl="0">
      <w:start w:val="1"/>
      <w:numFmt w:val="lowerLetter"/>
      <w:lvlText w:val="%1)"/>
      <w:legacy w:legacy="1" w:legacySpace="0" w:legacyIndent="283"/>
      <w:lvlJc w:val="left"/>
      <w:pPr>
        <w:ind w:left="283" w:hanging="283"/>
      </w:pPr>
    </w:lvl>
  </w:abstractNum>
  <w:abstractNum w:abstractNumId="2" w15:restartNumberingAfterBreak="0">
    <w:nsid w:val="0BAB3E4F"/>
    <w:multiLevelType w:val="singleLevel"/>
    <w:tmpl w:val="B914A5C6"/>
    <w:lvl w:ilvl="0">
      <w:start w:val="1"/>
      <w:numFmt w:val="lowerLetter"/>
      <w:lvlText w:val="%1)"/>
      <w:legacy w:legacy="1" w:legacySpace="0" w:legacyIndent="283"/>
      <w:lvlJc w:val="left"/>
      <w:pPr>
        <w:ind w:left="283" w:hanging="283"/>
      </w:pPr>
    </w:lvl>
  </w:abstractNum>
  <w:abstractNum w:abstractNumId="3" w15:restartNumberingAfterBreak="0">
    <w:nsid w:val="10333315"/>
    <w:multiLevelType w:val="hybridMultilevel"/>
    <w:tmpl w:val="BBE26F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5282E"/>
    <w:multiLevelType w:val="hybridMultilevel"/>
    <w:tmpl w:val="652A5E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453DB"/>
    <w:multiLevelType w:val="hybridMultilevel"/>
    <w:tmpl w:val="87B80E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9E2181A"/>
    <w:multiLevelType w:val="hybridMultilevel"/>
    <w:tmpl w:val="4EC6573A"/>
    <w:lvl w:ilvl="0" w:tplc="798EC18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D2F3F95"/>
    <w:multiLevelType w:val="hybridMultilevel"/>
    <w:tmpl w:val="1564F2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 w:ilvl="0">
        <w:start w:val="2"/>
        <w:numFmt w:val="lowerLetter"/>
        <w:lvlText w:val="%1)"/>
        <w:legacy w:legacy="1" w:legacySpace="0" w:legacyIndent="283"/>
        <w:lvlJc w:val="left"/>
        <w:pPr>
          <w:ind w:left="283" w:hanging="283"/>
        </w:pPr>
      </w:lvl>
    </w:lvlOverride>
  </w:num>
  <w:num w:numId="3">
    <w:abstractNumId w:val="2"/>
  </w:num>
  <w:num w:numId="4">
    <w:abstractNumId w:val="2"/>
    <w:lvlOverride w:ilvl="0">
      <w:lvl w:ilvl="0">
        <w:start w:val="2"/>
        <w:numFmt w:val="lowerLetter"/>
        <w:lvlText w:val="%1)"/>
        <w:legacy w:legacy="1" w:legacySpace="0" w:legacyIndent="283"/>
        <w:lvlJc w:val="left"/>
        <w:pPr>
          <w:ind w:left="283" w:hanging="283"/>
        </w:pPr>
      </w:lvl>
    </w:lvlOverride>
  </w:num>
  <w:num w:numId="5">
    <w:abstractNumId w:val="3"/>
  </w:num>
  <w:num w:numId="6">
    <w:abstractNumId w:val="0"/>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10"/>
    <w:rsid w:val="00026A61"/>
    <w:rsid w:val="00051694"/>
    <w:rsid w:val="000569C3"/>
    <w:rsid w:val="00065701"/>
    <w:rsid w:val="00090786"/>
    <w:rsid w:val="000968C4"/>
    <w:rsid w:val="000A4A9C"/>
    <w:rsid w:val="000B12F8"/>
    <w:rsid w:val="000B2C0A"/>
    <w:rsid w:val="000B39F4"/>
    <w:rsid w:val="000D62DA"/>
    <w:rsid w:val="000E66CE"/>
    <w:rsid w:val="000F6BEC"/>
    <w:rsid w:val="00104430"/>
    <w:rsid w:val="00116DF1"/>
    <w:rsid w:val="00153707"/>
    <w:rsid w:val="0016376B"/>
    <w:rsid w:val="00165AD2"/>
    <w:rsid w:val="00173FA8"/>
    <w:rsid w:val="00191E01"/>
    <w:rsid w:val="001B3789"/>
    <w:rsid w:val="001D2A1D"/>
    <w:rsid w:val="001E1364"/>
    <w:rsid w:val="001F0322"/>
    <w:rsid w:val="00224559"/>
    <w:rsid w:val="00245525"/>
    <w:rsid w:val="00250F97"/>
    <w:rsid w:val="002A00E9"/>
    <w:rsid w:val="002B2ED3"/>
    <w:rsid w:val="002C0060"/>
    <w:rsid w:val="002C0357"/>
    <w:rsid w:val="00302773"/>
    <w:rsid w:val="00310DED"/>
    <w:rsid w:val="00313885"/>
    <w:rsid w:val="00331827"/>
    <w:rsid w:val="00342C02"/>
    <w:rsid w:val="003C76ED"/>
    <w:rsid w:val="003D3BD9"/>
    <w:rsid w:val="003E1DB7"/>
    <w:rsid w:val="003F1888"/>
    <w:rsid w:val="003F5401"/>
    <w:rsid w:val="003F7ECE"/>
    <w:rsid w:val="00411104"/>
    <w:rsid w:val="00423B4A"/>
    <w:rsid w:val="00437B0F"/>
    <w:rsid w:val="004A5216"/>
    <w:rsid w:val="004B5928"/>
    <w:rsid w:val="004C2ACB"/>
    <w:rsid w:val="004E2E06"/>
    <w:rsid w:val="0052059C"/>
    <w:rsid w:val="00585640"/>
    <w:rsid w:val="005A5F60"/>
    <w:rsid w:val="005B7C45"/>
    <w:rsid w:val="005C1E31"/>
    <w:rsid w:val="005F641B"/>
    <w:rsid w:val="006205E5"/>
    <w:rsid w:val="0065280F"/>
    <w:rsid w:val="00677BB1"/>
    <w:rsid w:val="006B200E"/>
    <w:rsid w:val="006C4709"/>
    <w:rsid w:val="006D1A51"/>
    <w:rsid w:val="006D35E9"/>
    <w:rsid w:val="006F7776"/>
    <w:rsid w:val="00700889"/>
    <w:rsid w:val="00712A77"/>
    <w:rsid w:val="00727AAB"/>
    <w:rsid w:val="00740841"/>
    <w:rsid w:val="007520E1"/>
    <w:rsid w:val="00766F9D"/>
    <w:rsid w:val="007725FF"/>
    <w:rsid w:val="007820B8"/>
    <w:rsid w:val="007A0EE5"/>
    <w:rsid w:val="007C144C"/>
    <w:rsid w:val="007C1570"/>
    <w:rsid w:val="007C7643"/>
    <w:rsid w:val="007F75B1"/>
    <w:rsid w:val="00845922"/>
    <w:rsid w:val="0089699C"/>
    <w:rsid w:val="008B15E1"/>
    <w:rsid w:val="008B2483"/>
    <w:rsid w:val="008B2CF6"/>
    <w:rsid w:val="008C7B32"/>
    <w:rsid w:val="008D40C0"/>
    <w:rsid w:val="008E18CF"/>
    <w:rsid w:val="008F2178"/>
    <w:rsid w:val="008F234F"/>
    <w:rsid w:val="008F6A47"/>
    <w:rsid w:val="0090140C"/>
    <w:rsid w:val="00901D14"/>
    <w:rsid w:val="00933ADD"/>
    <w:rsid w:val="009352C6"/>
    <w:rsid w:val="00957DB4"/>
    <w:rsid w:val="00977912"/>
    <w:rsid w:val="00983E9D"/>
    <w:rsid w:val="00985360"/>
    <w:rsid w:val="00997D3B"/>
    <w:rsid w:val="009B156A"/>
    <w:rsid w:val="009C7B86"/>
    <w:rsid w:val="009D0572"/>
    <w:rsid w:val="009F368D"/>
    <w:rsid w:val="00A501E4"/>
    <w:rsid w:val="00A77409"/>
    <w:rsid w:val="00A862D8"/>
    <w:rsid w:val="00A8698D"/>
    <w:rsid w:val="00A9550D"/>
    <w:rsid w:val="00AA4EED"/>
    <w:rsid w:val="00AC5792"/>
    <w:rsid w:val="00AD2F55"/>
    <w:rsid w:val="00AE379E"/>
    <w:rsid w:val="00B50E2C"/>
    <w:rsid w:val="00B6753F"/>
    <w:rsid w:val="00B75833"/>
    <w:rsid w:val="00B87611"/>
    <w:rsid w:val="00B90DF3"/>
    <w:rsid w:val="00B92165"/>
    <w:rsid w:val="00B9456A"/>
    <w:rsid w:val="00BB59C2"/>
    <w:rsid w:val="00BF2C8B"/>
    <w:rsid w:val="00C34E99"/>
    <w:rsid w:val="00C55104"/>
    <w:rsid w:val="00C6616F"/>
    <w:rsid w:val="00C66672"/>
    <w:rsid w:val="00C94FB7"/>
    <w:rsid w:val="00CA2A02"/>
    <w:rsid w:val="00CA3BB4"/>
    <w:rsid w:val="00CD0DD4"/>
    <w:rsid w:val="00D073C8"/>
    <w:rsid w:val="00D10DDD"/>
    <w:rsid w:val="00D25C49"/>
    <w:rsid w:val="00D36E76"/>
    <w:rsid w:val="00D50CE5"/>
    <w:rsid w:val="00D953A6"/>
    <w:rsid w:val="00DA4096"/>
    <w:rsid w:val="00DA501B"/>
    <w:rsid w:val="00DA7D58"/>
    <w:rsid w:val="00E00D9F"/>
    <w:rsid w:val="00E22081"/>
    <w:rsid w:val="00E4761C"/>
    <w:rsid w:val="00E50B43"/>
    <w:rsid w:val="00E763E4"/>
    <w:rsid w:val="00E95B05"/>
    <w:rsid w:val="00EA2EED"/>
    <w:rsid w:val="00EB5A73"/>
    <w:rsid w:val="00EC7CC4"/>
    <w:rsid w:val="00EE02CB"/>
    <w:rsid w:val="00EE0D16"/>
    <w:rsid w:val="00F11777"/>
    <w:rsid w:val="00F30468"/>
    <w:rsid w:val="00F43AD6"/>
    <w:rsid w:val="00F5251A"/>
    <w:rsid w:val="00F54824"/>
    <w:rsid w:val="00F6534F"/>
    <w:rsid w:val="00F66510"/>
    <w:rsid w:val="00F76006"/>
    <w:rsid w:val="00F906FB"/>
    <w:rsid w:val="00FD060C"/>
    <w:rsid w:val="00FE37D4"/>
    <w:rsid w:val="00FF24AE"/>
    <w:rsid w:val="00FF3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val="en-GB" w:eastAsia="en-US"/>
    </w:rPr>
  </w:style>
  <w:style w:type="paragraph" w:styleId="berschrift1">
    <w:name w:val="heading 1"/>
    <w:basedOn w:val="Standard"/>
    <w:next w:val="Standard"/>
    <w:qFormat/>
    <w:pPr>
      <w:overflowPunct w:val="0"/>
      <w:autoSpaceDE w:val="0"/>
      <w:autoSpaceDN w:val="0"/>
      <w:adjustRightInd w:val="0"/>
      <w:spacing w:after="240"/>
      <w:ind w:left="227"/>
      <w:textAlignment w:val="baseline"/>
      <w:outlineLvl w:val="0"/>
    </w:pPr>
    <w:rPr>
      <w:rFonts w:cs="Times New Roman"/>
      <w:b/>
      <w:szCs w:val="20"/>
      <w:lang w:val="de-DE"/>
    </w:rPr>
  </w:style>
  <w:style w:type="paragraph" w:styleId="berschrift2">
    <w:name w:val="heading 2"/>
    <w:basedOn w:val="Standard"/>
    <w:next w:val="Standard"/>
    <w:qFormat/>
    <w:pPr>
      <w:keepNext/>
      <w:jc w:val="center"/>
      <w:outlineLvl w:val="1"/>
    </w:pPr>
    <w:rPr>
      <w:b/>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eldZ">
    <w:name w:val="FeldZ"/>
    <w:rPr>
      <w:rFonts w:ascii="Courier New" w:hAnsi="Courier New"/>
      <w:b/>
      <w:noProof/>
      <w:sz w:val="20"/>
      <w:u w:val="none"/>
    </w:rPr>
  </w:style>
  <w:style w:type="paragraph" w:styleId="Textkrper">
    <w:name w:val="Body Text"/>
    <w:basedOn w:val="Standard"/>
    <w:pPr>
      <w:spacing w:after="120"/>
      <w:jc w:val="both"/>
    </w:pPr>
    <w:rPr>
      <w:sz w:val="20"/>
      <w:lang w:val="de-DE"/>
    </w:rPr>
  </w:style>
  <w:style w:type="paragraph" w:styleId="Blocktext">
    <w:name w:val="Block Text"/>
    <w:basedOn w:val="Standard"/>
    <w:pPr>
      <w:spacing w:after="120"/>
      <w:ind w:left="284" w:right="282"/>
      <w:jc w:val="both"/>
    </w:pPr>
    <w:rPr>
      <w:sz w:val="20"/>
      <w:lang w:val="de-DE"/>
    </w:rPr>
  </w:style>
  <w:style w:type="character" w:customStyle="1" w:styleId="FeldK">
    <w:name w:val="FeldK"/>
    <w:rPr>
      <w:rFonts w:ascii="Courier New" w:hAnsi="Courier New"/>
      <w:b/>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lang w:eastAsia="en-US"/>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2081"/>
    <w:rPr>
      <w:rFonts w:ascii="Tahoma" w:hAnsi="Tahoma" w:cs="Tahoma"/>
      <w:sz w:val="16"/>
      <w:szCs w:val="16"/>
    </w:rPr>
  </w:style>
  <w:style w:type="paragraph" w:customStyle="1" w:styleId="Block">
    <w:name w:val="Block"/>
    <w:basedOn w:val="Standard"/>
    <w:rsid w:val="00F43AD6"/>
    <w:pPr>
      <w:spacing w:line="260" w:lineRule="atLeast"/>
      <w:jc w:val="both"/>
    </w:pPr>
    <w:rPr>
      <w:rFonts w:cs="Times New Roman"/>
      <w:sz w:val="22"/>
      <w:szCs w:val="20"/>
      <w:lang w:val="de-DE" w:eastAsia="de-DE"/>
    </w:rPr>
  </w:style>
  <w:style w:type="character" w:customStyle="1" w:styleId="KopfzeileZchn">
    <w:name w:val="Kopfzeile Zchn"/>
    <w:basedOn w:val="Absatz-Standardschriftart"/>
    <w:link w:val="Kopfzeile"/>
    <w:rsid w:val="000B39F4"/>
    <w:rPr>
      <w:rFonts w:ascii="Arial" w:hAnsi="Arial" w:cs="Arial"/>
      <w:sz w:val="24"/>
      <w:szCs w:val="24"/>
      <w:lang w:val="en-GB" w:eastAsia="en-US"/>
    </w:rPr>
  </w:style>
  <w:style w:type="character" w:customStyle="1" w:styleId="FuzeileZchn">
    <w:name w:val="Fußzeile Zchn"/>
    <w:basedOn w:val="Absatz-Standardschriftart"/>
    <w:link w:val="Fuzeile"/>
    <w:uiPriority w:val="99"/>
    <w:rsid w:val="009F368D"/>
    <w:rPr>
      <w:rFonts w:ascii="Arial" w:hAnsi="Arial" w:cs="Arial"/>
      <w:sz w:val="24"/>
      <w:szCs w:val="24"/>
      <w:lang w:val="en-GB" w:eastAsia="en-US"/>
    </w:rPr>
  </w:style>
  <w:style w:type="paragraph" w:styleId="Funotentext">
    <w:name w:val="footnote text"/>
    <w:basedOn w:val="Standard"/>
    <w:link w:val="FunotentextZchn"/>
    <w:rsid w:val="009F368D"/>
    <w:rPr>
      <w:sz w:val="20"/>
      <w:szCs w:val="20"/>
    </w:rPr>
  </w:style>
  <w:style w:type="character" w:customStyle="1" w:styleId="FunotentextZchn">
    <w:name w:val="Fußnotentext Zchn"/>
    <w:basedOn w:val="Absatz-Standardschriftart"/>
    <w:link w:val="Funotentext"/>
    <w:rsid w:val="009F368D"/>
    <w:rPr>
      <w:rFonts w:ascii="Arial" w:hAnsi="Arial" w:cs="Arial"/>
      <w:lang w:val="en-GB" w:eastAsia="en-US"/>
    </w:rPr>
  </w:style>
  <w:style w:type="character" w:styleId="Funotenzeichen">
    <w:name w:val="footnote reference"/>
    <w:basedOn w:val="Absatz-Standardschriftart"/>
    <w:rsid w:val="009F368D"/>
    <w:rPr>
      <w:vertAlign w:val="superscript"/>
    </w:rPr>
  </w:style>
  <w:style w:type="table" w:styleId="Tabellenraster">
    <w:name w:val="Table Grid"/>
    <w:basedOn w:val="NormaleTabelle"/>
    <w:rsid w:val="0052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61EE-F1F8-466E-9739-0364EABD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14_3 (Stand Juli 2016).dotx</Template>
  <TotalTime>0</TotalTime>
  <Pages>2</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Formular 1/1</vt:lpstr>
    </vt:vector>
  </TitlesOfParts>
  <Company>Merck KGaA</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1/1</dc:title>
  <dc:creator>Ziegenfuß, Dr. Hans-Peter (HMUKLV)</dc:creator>
  <cp:lastModifiedBy>Ziegenfuß, Dr. Hans-Peter (HMUKLV)</cp:lastModifiedBy>
  <cp:revision>1</cp:revision>
  <cp:lastPrinted>2014-07-30T10:40:00Z</cp:lastPrinted>
  <dcterms:created xsi:type="dcterms:W3CDTF">2022-09-02T07:41:00Z</dcterms:created>
  <dcterms:modified xsi:type="dcterms:W3CDTF">2022-09-02T07:46:00Z</dcterms:modified>
</cp:coreProperties>
</file>